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A" w:rsidRPr="0035274A" w:rsidRDefault="0035274A" w:rsidP="0035274A">
      <w:pPr>
        <w:autoSpaceDE w:val="0"/>
        <w:autoSpaceDN w:val="0"/>
        <w:adjustRightInd w:val="0"/>
        <w:rPr>
          <w:rFonts w:ascii="Times New Roman" w:hAnsi="Times New Roman"/>
          <w:b/>
          <w:bCs/>
          <w:sz w:val="34"/>
          <w:szCs w:val="34"/>
        </w:rPr>
      </w:pPr>
      <w:r w:rsidRPr="0035274A">
        <w:rPr>
          <w:rFonts w:ascii="Times New Roman" w:hAnsi="Times New Roman"/>
          <w:b/>
          <w:bCs/>
          <w:sz w:val="34"/>
          <w:szCs w:val="34"/>
        </w:rPr>
        <w:t>Optical properties of Graphene Oxide reinforced PANI/PS Nanocomposite Solution Cast Thin Films</w:t>
      </w:r>
    </w:p>
    <w:p w:rsidR="0035274A" w:rsidRDefault="0035274A">
      <w:pPr>
        <w:pStyle w:val="Authors"/>
      </w:pPr>
    </w:p>
    <w:p w:rsidR="0035274A" w:rsidRDefault="0035274A" w:rsidP="0035274A">
      <w:pPr>
        <w:ind w:left="1418"/>
        <w:rPr>
          <w:rFonts w:ascii="Times New Roman" w:hAnsi="Times New Roman"/>
          <w:b/>
          <w:bCs/>
          <w:szCs w:val="22"/>
          <w:vertAlign w:val="superscript"/>
        </w:rPr>
      </w:pPr>
      <w:r w:rsidRPr="0035274A">
        <w:rPr>
          <w:rFonts w:ascii="Times New Roman" w:hAnsi="Times New Roman"/>
          <w:b/>
          <w:bCs/>
          <w:szCs w:val="22"/>
        </w:rPr>
        <w:t xml:space="preserve">Manisa Das </w:t>
      </w:r>
      <w:r w:rsidRPr="0035274A">
        <w:rPr>
          <w:rFonts w:ascii="Times New Roman" w:hAnsi="Times New Roman"/>
          <w:b/>
          <w:bCs/>
          <w:szCs w:val="22"/>
          <w:vertAlign w:val="superscript"/>
        </w:rPr>
        <w:t>a</w:t>
      </w:r>
      <w:r w:rsidRPr="0035274A">
        <w:rPr>
          <w:rFonts w:ascii="Times New Roman" w:hAnsi="Times New Roman"/>
          <w:b/>
          <w:bCs/>
          <w:szCs w:val="22"/>
        </w:rPr>
        <w:t>, IpsitaMohanty</w:t>
      </w:r>
      <w:r w:rsidRPr="0035274A">
        <w:rPr>
          <w:rFonts w:ascii="Times New Roman" w:hAnsi="Times New Roman"/>
          <w:b/>
          <w:bCs/>
          <w:szCs w:val="22"/>
          <w:vertAlign w:val="superscript"/>
        </w:rPr>
        <w:t>b</w:t>
      </w:r>
      <w:r w:rsidRPr="0035274A">
        <w:rPr>
          <w:rFonts w:ascii="Times New Roman" w:hAnsi="Times New Roman"/>
          <w:b/>
          <w:bCs/>
          <w:szCs w:val="22"/>
        </w:rPr>
        <w:t xml:space="preserve">, Udai Pratap Singh </w:t>
      </w:r>
      <w:r w:rsidRPr="0035274A">
        <w:rPr>
          <w:rFonts w:ascii="Times New Roman" w:hAnsi="Times New Roman"/>
          <w:b/>
          <w:bCs/>
          <w:szCs w:val="22"/>
          <w:vertAlign w:val="superscript"/>
        </w:rPr>
        <w:t>b</w:t>
      </w:r>
      <w:r w:rsidRPr="0035274A">
        <w:rPr>
          <w:rFonts w:ascii="Times New Roman" w:hAnsi="Times New Roman"/>
          <w:b/>
          <w:bCs/>
          <w:szCs w:val="22"/>
        </w:rPr>
        <w:t xml:space="preserve"> and BibekanandaSundaray</w:t>
      </w:r>
      <w:r w:rsidRPr="0035274A">
        <w:rPr>
          <w:rFonts w:ascii="Times New Roman" w:hAnsi="Times New Roman"/>
          <w:b/>
          <w:bCs/>
          <w:szCs w:val="22"/>
          <w:vertAlign w:val="superscript"/>
        </w:rPr>
        <w:t>a, *</w:t>
      </w:r>
    </w:p>
    <w:p w:rsidR="0035274A" w:rsidRPr="0035274A" w:rsidRDefault="0035274A" w:rsidP="0035274A">
      <w:pPr>
        <w:ind w:left="1418"/>
        <w:rPr>
          <w:rFonts w:ascii="Times New Roman" w:hAnsi="Times New Roman"/>
          <w:b/>
          <w:bCs/>
          <w:szCs w:val="22"/>
        </w:rPr>
      </w:pPr>
      <w:r w:rsidRPr="0035274A">
        <w:rPr>
          <w:rFonts w:ascii="Times New Roman" w:hAnsi="Times New Roman"/>
          <w:b/>
          <w:bCs/>
          <w:szCs w:val="22"/>
          <w:vertAlign w:val="superscript"/>
        </w:rPr>
        <w:t>a</w:t>
      </w:r>
      <w:r w:rsidRPr="0035274A">
        <w:rPr>
          <w:rFonts w:ascii="Times New Roman" w:hAnsi="Times New Roman"/>
          <w:szCs w:val="22"/>
        </w:rPr>
        <w:t xml:space="preserve"> Department of Physics, Ravenshaw University, Cuttack 753003, Odisha, India</w:t>
      </w:r>
    </w:p>
    <w:p w:rsidR="0035274A" w:rsidRDefault="0035274A" w:rsidP="0035274A">
      <w:pPr>
        <w:ind w:left="1418"/>
        <w:rPr>
          <w:rFonts w:ascii="Times New Roman" w:hAnsi="Times New Roman"/>
          <w:szCs w:val="22"/>
        </w:rPr>
      </w:pPr>
      <w:r w:rsidRPr="0035274A">
        <w:rPr>
          <w:rFonts w:ascii="Times New Roman" w:hAnsi="Times New Roman"/>
          <w:szCs w:val="22"/>
          <w:vertAlign w:val="superscript"/>
        </w:rPr>
        <w:t>b</w:t>
      </w:r>
      <w:r w:rsidRPr="0035274A">
        <w:rPr>
          <w:rFonts w:ascii="Times New Roman" w:hAnsi="Times New Roman"/>
          <w:szCs w:val="22"/>
        </w:rPr>
        <w:t xml:space="preserve"> Thin-film photovoltaic Lab, School of Electronics Engineering, KIIT University, Bhubaneswar</w:t>
      </w:r>
      <w:r>
        <w:rPr>
          <w:rFonts w:ascii="Times New Roman" w:hAnsi="Times New Roman"/>
          <w:szCs w:val="22"/>
        </w:rPr>
        <w:t xml:space="preserve">, </w:t>
      </w:r>
      <w:r w:rsidRPr="0035274A">
        <w:rPr>
          <w:rFonts w:ascii="Times New Roman" w:hAnsi="Times New Roman"/>
          <w:szCs w:val="22"/>
        </w:rPr>
        <w:t>751024, Odisha, India</w:t>
      </w:r>
    </w:p>
    <w:p w:rsidR="0035274A" w:rsidRPr="0035274A" w:rsidRDefault="0035274A" w:rsidP="0035274A">
      <w:pPr>
        <w:ind w:left="1418"/>
        <w:rPr>
          <w:rFonts w:ascii="Times New Roman" w:hAnsi="Times New Roman"/>
          <w:szCs w:val="22"/>
        </w:rPr>
      </w:pPr>
    </w:p>
    <w:p w:rsidR="0035274A" w:rsidRDefault="0035274A" w:rsidP="0035274A">
      <w:pPr>
        <w:ind w:left="1418"/>
        <w:rPr>
          <w:rFonts w:ascii="Times New Roman" w:hAnsi="Times New Roman"/>
          <w:szCs w:val="22"/>
        </w:rPr>
      </w:pPr>
      <w:r w:rsidRPr="0035274A">
        <w:rPr>
          <w:rFonts w:ascii="Times New Roman" w:hAnsi="Times New Roman"/>
          <w:szCs w:val="22"/>
        </w:rPr>
        <w:t xml:space="preserve">*e-mail: </w:t>
      </w:r>
      <w:hyperlink r:id="rId8" w:history="1">
        <w:r w:rsidRPr="00C04C35">
          <w:rPr>
            <w:rStyle w:val="Hyperlink"/>
            <w:rFonts w:ascii="Times New Roman" w:hAnsi="Times New Roman"/>
            <w:szCs w:val="22"/>
          </w:rPr>
          <w:t>bnsundaray@ravenshawuniversity.ac.in</w:t>
        </w:r>
      </w:hyperlink>
    </w:p>
    <w:p w:rsidR="0035274A" w:rsidRPr="0035274A" w:rsidRDefault="0035274A" w:rsidP="0035274A">
      <w:pPr>
        <w:ind w:left="1418"/>
        <w:rPr>
          <w:rFonts w:ascii="Times New Roman" w:hAnsi="Times New Roman"/>
          <w:szCs w:val="22"/>
        </w:rPr>
      </w:pPr>
    </w:p>
    <w:p w:rsidR="000F17A3" w:rsidRPr="000F17A3" w:rsidRDefault="009A0487" w:rsidP="00A614B3">
      <w:pPr>
        <w:spacing w:line="360" w:lineRule="auto"/>
        <w:ind w:left="1418"/>
        <w:jc w:val="both"/>
        <w:rPr>
          <w:rFonts w:ascii="Times New Roman" w:hAnsi="Times New Roman"/>
          <w:sz w:val="20"/>
        </w:rPr>
      </w:pPr>
      <w:r>
        <w:rPr>
          <w:b/>
        </w:rPr>
        <w:t>Abstract</w:t>
      </w:r>
      <w:r>
        <w:t xml:space="preserve">. </w:t>
      </w:r>
      <w:r w:rsidR="000F17A3" w:rsidRPr="000F17A3">
        <w:rPr>
          <w:rFonts w:ascii="Times New Roman" w:hAnsi="Times New Roman"/>
          <w:sz w:val="20"/>
        </w:rPr>
        <w:t xml:space="preserve">Semiconductor band gap technology is essential in the quest to develop novel and advanced devices. Graphene-based polymer nanocomposites have recently been considered </w:t>
      </w:r>
      <w:r w:rsidR="00A77D9B">
        <w:rPr>
          <w:rFonts w:ascii="Times New Roman" w:hAnsi="Times New Roman"/>
          <w:sz w:val="20"/>
        </w:rPr>
        <w:t xml:space="preserve">one of the </w:t>
      </w:r>
      <w:r w:rsidR="000F17A3" w:rsidRPr="000F17A3">
        <w:rPr>
          <w:rFonts w:ascii="Times New Roman" w:hAnsi="Times New Roman"/>
          <w:sz w:val="20"/>
        </w:rPr>
        <w:t>most promising semiconducting material</w:t>
      </w:r>
      <w:r w:rsidR="00A77D9B">
        <w:rPr>
          <w:rFonts w:ascii="Times New Roman" w:hAnsi="Times New Roman"/>
          <w:sz w:val="20"/>
        </w:rPr>
        <w:t>s</w:t>
      </w:r>
      <w:r w:rsidR="000F17A3" w:rsidRPr="000F17A3">
        <w:rPr>
          <w:rFonts w:ascii="Times New Roman" w:hAnsi="Times New Roman"/>
          <w:sz w:val="20"/>
        </w:rPr>
        <w:t xml:space="preserve"> for optoelectronic applications. In this study, camphor sulphonic acid doped polyaniline (PANI)-polystyrene (PS)-Graphene oxide(GO) composite films are prepared by the solution casting technique</w:t>
      </w:r>
      <w:r w:rsidR="000F17A3">
        <w:rPr>
          <w:rFonts w:ascii="Times New Roman" w:hAnsi="Times New Roman"/>
          <w:sz w:val="20"/>
        </w:rPr>
        <w:t xml:space="preserve"> and</w:t>
      </w:r>
      <w:r w:rsidR="000F17A3" w:rsidRPr="000F17A3">
        <w:rPr>
          <w:rFonts w:ascii="Times New Roman" w:hAnsi="Times New Roman"/>
          <w:sz w:val="20"/>
        </w:rPr>
        <w:t xml:space="preserve"> are investigated by X-ray diffraction (XRD), Fourier transform infrared spectroscopy (FTIR), Transmission electron microscopy (TEM), and UV-Vis spectroscopy.</w:t>
      </w:r>
      <w:r w:rsidR="000F17A3">
        <w:rPr>
          <w:rFonts w:ascii="Times New Roman" w:hAnsi="Times New Roman"/>
          <w:sz w:val="20"/>
        </w:rPr>
        <w:t xml:space="preserve"> Th</w:t>
      </w:r>
      <w:r w:rsidR="000F17A3" w:rsidRPr="000F17A3">
        <w:rPr>
          <w:rFonts w:ascii="Times New Roman" w:hAnsi="Times New Roman"/>
          <w:sz w:val="20"/>
        </w:rPr>
        <w:t>e optical properties of the GO-PANI-PS polymer nanocomposite</w:t>
      </w:r>
      <w:r w:rsidR="00A77D9B">
        <w:rPr>
          <w:rFonts w:ascii="Times New Roman" w:hAnsi="Times New Roman"/>
          <w:sz w:val="20"/>
        </w:rPr>
        <w:t xml:space="preserve"> film</w:t>
      </w:r>
      <w:r w:rsidR="000F17A3" w:rsidRPr="000F17A3">
        <w:rPr>
          <w:rFonts w:ascii="Times New Roman" w:hAnsi="Times New Roman"/>
          <w:sz w:val="20"/>
        </w:rPr>
        <w:t xml:space="preserve">s </w:t>
      </w:r>
      <w:r w:rsidR="000F17A3">
        <w:rPr>
          <w:rFonts w:ascii="Times New Roman" w:hAnsi="Times New Roman"/>
          <w:sz w:val="20"/>
        </w:rPr>
        <w:t>exhibit h</w:t>
      </w:r>
      <w:r w:rsidR="000F17A3" w:rsidRPr="000F17A3">
        <w:rPr>
          <w:rFonts w:ascii="Times New Roman" w:hAnsi="Times New Roman"/>
          <w:sz w:val="20"/>
        </w:rPr>
        <w:t>igher refractive index (n)</w:t>
      </w:r>
      <w:r w:rsidR="000F17A3">
        <w:rPr>
          <w:rFonts w:ascii="Times New Roman" w:hAnsi="Times New Roman"/>
          <w:sz w:val="20"/>
        </w:rPr>
        <w:t xml:space="preserve">, </w:t>
      </w:r>
      <w:r w:rsidR="000F17A3" w:rsidRPr="000F17A3">
        <w:rPr>
          <w:rFonts w:ascii="Times New Roman" w:hAnsi="Times New Roman"/>
          <w:sz w:val="20"/>
        </w:rPr>
        <w:t>optical absorbance, andabsorption coefficient (α)</w:t>
      </w:r>
      <w:r w:rsidR="00A77D9B">
        <w:rPr>
          <w:rFonts w:ascii="Times New Roman" w:hAnsi="Times New Roman"/>
          <w:sz w:val="20"/>
        </w:rPr>
        <w:t xml:space="preserve">than PANI-PS </w:t>
      </w:r>
      <w:r w:rsidR="00961EAB">
        <w:rPr>
          <w:rFonts w:ascii="Times New Roman" w:hAnsi="Times New Roman"/>
          <w:sz w:val="20"/>
        </w:rPr>
        <w:t xml:space="preserve">polymer matrix </w:t>
      </w:r>
      <w:bookmarkStart w:id="0" w:name="_GoBack"/>
      <w:bookmarkEnd w:id="0"/>
      <w:r w:rsidR="000F17A3" w:rsidRPr="000F17A3">
        <w:rPr>
          <w:rFonts w:ascii="Times New Roman" w:hAnsi="Times New Roman"/>
          <w:sz w:val="20"/>
        </w:rPr>
        <w:t xml:space="preserve">for </w:t>
      </w:r>
      <w:r w:rsidR="000F17A3">
        <w:rPr>
          <w:rFonts w:ascii="Times New Roman" w:hAnsi="Times New Roman"/>
          <w:sz w:val="20"/>
        </w:rPr>
        <w:t>UV-</w:t>
      </w:r>
      <w:r w:rsidR="000F17A3" w:rsidRPr="000F17A3">
        <w:rPr>
          <w:rFonts w:ascii="Times New Roman" w:hAnsi="Times New Roman"/>
          <w:sz w:val="20"/>
        </w:rPr>
        <w:t>visible light</w:t>
      </w:r>
      <w:r w:rsidR="00A77D9B">
        <w:rPr>
          <w:rFonts w:ascii="Times New Roman" w:hAnsi="Times New Roman"/>
          <w:sz w:val="20"/>
        </w:rPr>
        <w:t>. This is</w:t>
      </w:r>
      <w:r w:rsidR="000F17A3">
        <w:rPr>
          <w:rFonts w:ascii="Times New Roman" w:hAnsi="Times New Roman"/>
          <w:sz w:val="20"/>
        </w:rPr>
        <w:t xml:space="preserve"> encouraging </w:t>
      </w:r>
      <w:r w:rsidR="000F17A3" w:rsidRPr="000F17A3">
        <w:rPr>
          <w:rFonts w:ascii="Times New Roman" w:hAnsi="Times New Roman"/>
          <w:sz w:val="20"/>
        </w:rPr>
        <w:t xml:space="preserve">for optoelectronic applications and ultraviolet protection. </w:t>
      </w:r>
      <w:r w:rsidR="000F17A3">
        <w:rPr>
          <w:rFonts w:ascii="Times New Roman" w:hAnsi="Times New Roman"/>
          <w:sz w:val="20"/>
        </w:rPr>
        <w:t>Furthermore, t</w:t>
      </w:r>
      <w:r w:rsidR="000F17A3" w:rsidRPr="000F17A3">
        <w:rPr>
          <w:rFonts w:ascii="Times New Roman" w:hAnsi="Times New Roman"/>
          <w:sz w:val="20"/>
        </w:rPr>
        <w:t xml:space="preserve">he </w:t>
      </w:r>
      <w:r w:rsidR="000F17A3">
        <w:rPr>
          <w:rFonts w:ascii="Times New Roman" w:hAnsi="Times New Roman"/>
          <w:sz w:val="20"/>
        </w:rPr>
        <w:t xml:space="preserve">obtained </w:t>
      </w:r>
      <w:r w:rsidR="000F17A3" w:rsidRPr="000F17A3">
        <w:rPr>
          <w:rFonts w:ascii="Times New Roman" w:hAnsi="Times New Roman"/>
          <w:sz w:val="20"/>
        </w:rPr>
        <w:t xml:space="preserve">low direct and indirect optical band gaps of the </w:t>
      </w:r>
      <w:r w:rsidR="000F17A3">
        <w:rPr>
          <w:rFonts w:ascii="Times New Roman" w:hAnsi="Times New Roman"/>
          <w:sz w:val="20"/>
        </w:rPr>
        <w:t xml:space="preserve">GO reinforced PANI-PS </w:t>
      </w:r>
      <w:r w:rsidR="000F17A3" w:rsidRPr="000F17A3">
        <w:rPr>
          <w:rFonts w:ascii="Times New Roman" w:hAnsi="Times New Roman"/>
          <w:sz w:val="20"/>
        </w:rPr>
        <w:t>polymer nanocomposite prepared by a simple route fascinat</w:t>
      </w:r>
      <w:r w:rsidR="000F17A3">
        <w:rPr>
          <w:rFonts w:ascii="Times New Roman" w:hAnsi="Times New Roman"/>
          <w:sz w:val="20"/>
        </w:rPr>
        <w:t xml:space="preserve">es the researchers </w:t>
      </w:r>
      <w:r w:rsidR="006D1BBA">
        <w:rPr>
          <w:rFonts w:ascii="Times New Roman" w:hAnsi="Times New Roman"/>
          <w:sz w:val="20"/>
        </w:rPr>
        <w:t>towards</w:t>
      </w:r>
      <w:r w:rsidR="000F17A3" w:rsidRPr="000F17A3">
        <w:rPr>
          <w:rFonts w:ascii="Times New Roman" w:hAnsi="Times New Roman"/>
          <w:sz w:val="20"/>
        </w:rPr>
        <w:t>a new path for various optoelectronic applications.</w:t>
      </w:r>
    </w:p>
    <w:p w:rsidR="004F3846" w:rsidRDefault="004F3846" w:rsidP="000F17A3">
      <w:pPr>
        <w:pStyle w:val="Abstract"/>
      </w:pPr>
    </w:p>
    <w:p w:rsidR="009A0487" w:rsidRDefault="009A0487" w:rsidP="000F17A3">
      <w:pPr>
        <w:pStyle w:val="Abstract"/>
      </w:pPr>
      <w:r>
        <w:t>References</w:t>
      </w:r>
      <w:r w:rsidR="00D03909">
        <w:t>:</w:t>
      </w:r>
    </w:p>
    <w:p w:rsidR="004F3846" w:rsidRPr="004F3846" w:rsidRDefault="004F3846" w:rsidP="004F38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Aydin, H.;Gündüz, B.;&amp; Aydin, C.;. Surface morphology, spectroscopy, optical and conductivity properties of transparent poly (9-vinylcarbazole) thin films modified with graphene oxide.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Synthetic Metals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4F384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2019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252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1-7.</w:t>
      </w:r>
      <w:hyperlink r:id="rId9" w:tgtFrame="_blank" w:tooltip="Persistent link using digital object identifier" w:history="1">
        <w:r w:rsidRPr="004F3846">
          <w:rPr>
            <w:rFonts w:ascii="Times New Roman" w:hAnsi="Times New Roman" w:cs="Times New Roman"/>
            <w:sz w:val="20"/>
            <w:szCs w:val="20"/>
          </w:rPr>
          <w:t>https://doi.org/10.1016/j.synthmet.2019.04.002</w:t>
        </w:r>
      </w:hyperlink>
      <w:r w:rsidRPr="004F3846">
        <w:rPr>
          <w:rFonts w:ascii="Times New Roman" w:hAnsi="Times New Roman" w:cs="Times New Roman"/>
          <w:sz w:val="20"/>
          <w:szCs w:val="20"/>
        </w:rPr>
        <w:t>.</w:t>
      </w:r>
    </w:p>
    <w:p w:rsidR="004F3846" w:rsidRPr="004F3846" w:rsidRDefault="004F3846" w:rsidP="004F38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Hurayra–Lizu, K. -A.; Bari, M. -W.;Gulshan, F.;&amp; Islam, M. -R.; GO based PVA nanocomposites: tailoring of optical and structural properties of PVA with low percentage of GO nanofillers.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Heliyon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4F384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2021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7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(5), e06983.</w:t>
      </w:r>
      <w:hyperlink r:id="rId10" w:tgtFrame="_blank" w:tooltip="Persistent link using digital object identifier" w:history="1">
        <w:r w:rsidRPr="004F3846">
          <w:rPr>
            <w:rFonts w:ascii="Times New Roman" w:hAnsi="Times New Roman" w:cs="Times New Roman"/>
            <w:sz w:val="20"/>
            <w:szCs w:val="20"/>
          </w:rPr>
          <w:t>https://doi.org/10.1016/j.heliyon.2021.e06983</w:t>
        </w:r>
      </w:hyperlink>
      <w:r w:rsidRPr="004F3846">
        <w:rPr>
          <w:rFonts w:ascii="Times New Roman" w:hAnsi="Times New Roman" w:cs="Times New Roman"/>
          <w:sz w:val="20"/>
          <w:szCs w:val="20"/>
        </w:rPr>
        <w:t>.</w:t>
      </w:r>
    </w:p>
    <w:p w:rsidR="004F3846" w:rsidRPr="004F3846" w:rsidRDefault="004F3846" w:rsidP="004F38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Yahia, I. -S.;&amp; Mohammed, M. -I.;. Facile synthesis of graphene oxide/PVA nanocomposites for laser optical limiting: band gap analysis and dielectric constants.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Materials Science: Materials in Electronics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4F384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2018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29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(10), 8555-8563.</w:t>
      </w:r>
      <w:hyperlink r:id="rId11" w:history="1">
        <w:r w:rsidRPr="004F3846">
          <w:rPr>
            <w:rFonts w:ascii="Times New Roman" w:hAnsi="Times New Roman" w:cs="Times New Roman"/>
            <w:sz w:val="20"/>
            <w:szCs w:val="20"/>
          </w:rPr>
          <w:t>https://doi.org/10.1007/s10854-018-8869-7</w:t>
        </w:r>
      </w:hyperlink>
      <w:r w:rsidRPr="004F3846">
        <w:rPr>
          <w:rFonts w:ascii="Times New Roman" w:hAnsi="Times New Roman" w:cs="Times New Roman"/>
          <w:sz w:val="20"/>
          <w:szCs w:val="20"/>
        </w:rPr>
        <w:t>.</w:t>
      </w:r>
    </w:p>
    <w:p w:rsidR="004F3846" w:rsidRPr="004F3846" w:rsidRDefault="004F3846" w:rsidP="004F38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Sabry, N.; Mohammed, M. -I.;&amp; Yahia, I.-S.;. Optical analysis, optical limiting and electrical properties of novel PbI2/PVA polymeric nanocomposite films for electronic optoelectronic applications.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Materials Research Express. </w:t>
      </w:r>
      <w:r w:rsidRPr="004F384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2019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6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(11), 115339.</w:t>
      </w:r>
      <w:hyperlink r:id="rId12" w:history="1">
        <w:r w:rsidRPr="004F3846">
          <w:rPr>
            <w:rFonts w:ascii="Times New Roman" w:hAnsi="Times New Roman" w:cs="Times New Roman"/>
            <w:sz w:val="20"/>
            <w:szCs w:val="20"/>
          </w:rPr>
          <w:t>https://doi.org/10.1088/2053-1591/ab4c24</w:t>
        </w:r>
      </w:hyperlink>
      <w:r w:rsidRPr="004F3846">
        <w:rPr>
          <w:rFonts w:ascii="Times New Roman" w:hAnsi="Times New Roman" w:cs="Times New Roman"/>
          <w:sz w:val="20"/>
          <w:szCs w:val="20"/>
        </w:rPr>
        <w:t>.</w:t>
      </w:r>
    </w:p>
    <w:p w:rsidR="004F3846" w:rsidRPr="004F3846" w:rsidRDefault="004F3846" w:rsidP="004F38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Aslam, M.;Kalyar, M. -A.;&amp; Raza, Z. -A.;. Fabrication of reduced graphene oxide nanosheets doped PVA composite films for tailoring their opto-mechanical properties.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Applied Physics A. </w:t>
      </w:r>
      <w:r w:rsidRPr="004F384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2017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4F384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123</w:t>
      </w:r>
      <w:r w:rsidRPr="004F3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(6), 1-12.</w:t>
      </w:r>
      <w:hyperlink r:id="rId13" w:history="1">
        <w:r w:rsidRPr="004F3846">
          <w:rPr>
            <w:rFonts w:ascii="Times New Roman" w:hAnsi="Times New Roman" w:cs="Times New Roman"/>
            <w:sz w:val="20"/>
            <w:szCs w:val="20"/>
          </w:rPr>
          <w:t>https://doi.org/10.1007/s00339-017-1035-x</w:t>
        </w:r>
      </w:hyperlink>
      <w:r w:rsidRPr="004F3846">
        <w:rPr>
          <w:rFonts w:ascii="Times New Roman" w:hAnsi="Times New Roman" w:cs="Times New Roman"/>
          <w:sz w:val="20"/>
          <w:szCs w:val="20"/>
        </w:rPr>
        <w:t>.</w:t>
      </w:r>
    </w:p>
    <w:sectPr w:rsidR="004F3846" w:rsidRPr="004F3846" w:rsidSect="002346EF">
      <w:headerReference w:type="even" r:id="rId14"/>
      <w:headerReference w:type="default" r:id="rId15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64" w:rsidRDefault="00681364">
      <w:r>
        <w:separator/>
      </w:r>
    </w:p>
  </w:endnote>
  <w:endnote w:type="continuationSeparator" w:id="1">
    <w:p w:rsidR="00681364" w:rsidRDefault="0068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64" w:rsidRPr="00043761" w:rsidRDefault="0068136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681364" w:rsidRDefault="0068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1418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1418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00E55"/>
    <w:multiLevelType w:val="hybridMultilevel"/>
    <w:tmpl w:val="9C501FE8"/>
    <w:lvl w:ilvl="0" w:tplc="FDE4BFD4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F17A3"/>
    <w:rsid w:val="001E6017"/>
    <w:rsid w:val="00217A99"/>
    <w:rsid w:val="002346EF"/>
    <w:rsid w:val="0035274A"/>
    <w:rsid w:val="004F3846"/>
    <w:rsid w:val="005158FA"/>
    <w:rsid w:val="00590874"/>
    <w:rsid w:val="00681364"/>
    <w:rsid w:val="006D1BBA"/>
    <w:rsid w:val="006F45A4"/>
    <w:rsid w:val="00733CB3"/>
    <w:rsid w:val="00961EAB"/>
    <w:rsid w:val="009A0487"/>
    <w:rsid w:val="00A346E7"/>
    <w:rsid w:val="00A614B3"/>
    <w:rsid w:val="00A77D9B"/>
    <w:rsid w:val="00B05982"/>
    <w:rsid w:val="00B83F45"/>
    <w:rsid w:val="00CF5F59"/>
    <w:rsid w:val="00D03909"/>
    <w:rsid w:val="00DE27DE"/>
    <w:rsid w:val="00DE2835"/>
    <w:rsid w:val="00E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F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2346EF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3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346E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346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346E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346E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346E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3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2346EF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2346EF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2346EF"/>
    <w:pPr>
      <w:ind w:firstLine="284"/>
    </w:pPr>
  </w:style>
  <w:style w:type="character" w:customStyle="1" w:styleId="SubsubsectionChar">
    <w:name w:val="Subsubsection Char"/>
    <w:link w:val="Subsubsection"/>
    <w:rsid w:val="002346EF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2346EF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2346EF"/>
    <w:rPr>
      <w:sz w:val="20"/>
    </w:rPr>
  </w:style>
  <w:style w:type="character" w:styleId="FootnoteReference">
    <w:name w:val="footnote reference"/>
    <w:semiHidden/>
    <w:rsid w:val="002346EF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2346EF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2346EF"/>
    <w:rPr>
      <w:sz w:val="20"/>
    </w:rPr>
  </w:style>
  <w:style w:type="character" w:styleId="EndnoteReference">
    <w:name w:val="endnote reference"/>
    <w:semiHidden/>
    <w:rsid w:val="002346EF"/>
    <w:rPr>
      <w:vertAlign w:val="superscript"/>
    </w:rPr>
  </w:style>
  <w:style w:type="paragraph" w:customStyle="1" w:styleId="Subsection">
    <w:name w:val="Subsection"/>
    <w:next w:val="Bodytext"/>
    <w:rsid w:val="002346EF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2346EF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2346EF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2346EF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2346EF"/>
  </w:style>
  <w:style w:type="paragraph" w:styleId="Title">
    <w:name w:val="Title"/>
    <w:basedOn w:val="Normal"/>
    <w:next w:val="Authors"/>
    <w:qFormat/>
    <w:rsid w:val="002346EF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2346EF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2346EF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2346EF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2346EF"/>
    <w:pPr>
      <w:numPr>
        <w:numId w:val="0"/>
      </w:numPr>
      <w:ind w:left="851" w:hanging="284"/>
    </w:pPr>
  </w:style>
  <w:style w:type="paragraph" w:customStyle="1" w:styleId="Reference">
    <w:name w:val="Reference"/>
    <w:rsid w:val="002346EF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52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8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undaray@ravenshawuniversity.ac.in" TargetMode="External"/><Relationship Id="rId13" Type="http://schemas.openxmlformats.org/officeDocument/2006/relationships/hyperlink" Target="https://doi.org/10.1007/s00339-017-1035-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8/2053-1591/ab4c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854-018-8869-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016/j.heliyon.2021.e06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ynthmet.2019.04.002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3AE-85D4-4410-92B4-9C3AB16B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Manisha</cp:lastModifiedBy>
  <cp:revision>8</cp:revision>
  <cp:lastPrinted>2005-02-25T09:52:00Z</cp:lastPrinted>
  <dcterms:created xsi:type="dcterms:W3CDTF">2015-09-02T08:53:00Z</dcterms:created>
  <dcterms:modified xsi:type="dcterms:W3CDTF">2023-02-22T02:11:00Z</dcterms:modified>
</cp:coreProperties>
</file>