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1588" w:after="567"/>
        <w:rPr/>
      </w:pPr>
      <w:r>
        <w:rPr/>
        <w:tab/>
        <w:tab/>
        <w:t>Point contact spectroscopy on LSCO material</w:t>
      </w:r>
    </w:p>
    <w:p>
      <w:pPr>
        <w:pStyle w:val="Authors"/>
        <w:rPr/>
      </w:pPr>
      <w:r>
        <w:rPr/>
        <w:tab/>
        <w:tab/>
        <w:tab/>
        <w:t>Eisha Bartwal and Sanjeev Kuma</w:t>
      </w:r>
      <w:r>
        <w:rPr/>
        <w:t>r</w:t>
      </w:r>
    </w:p>
    <w:p>
      <w:pPr>
        <w:pStyle w:val="Authors"/>
        <w:rPr/>
      </w:pPr>
      <w:r>
        <w:rPr>
          <w:rFonts w:eastAsia="Times New Roman"/>
          <w:b/>
          <w:bCs/>
          <w:i w:val="false"/>
          <w:iCs w:val="false"/>
          <w:color w:val="000000"/>
          <w:sz w:val="20"/>
          <w:szCs w:val="20"/>
          <w:lang w:val="en-IN" w:eastAsia="en-IN"/>
        </w:rPr>
        <w:tab/>
        <w:tab/>
        <w:tab/>
        <w:tab/>
        <w:t>Author Affiliations </w:t>
      </w:r>
    </w:p>
    <w:p>
      <w:pPr>
        <w:pStyle w:val="Normal"/>
        <w:pBdr/>
        <w:ind w:left="284" w:right="269" w:hanging="0"/>
        <w:rPr>
          <w:rFonts w:eastAsia="Times New Roman"/>
          <w:lang w:val="en-IN" w:eastAsia="en-IN"/>
        </w:rPr>
      </w:pPr>
      <w:r>
        <w:rPr>
          <w:rFonts w:eastAsia="Times New Roman"/>
          <w:b/>
          <w:bCs/>
          <w:i w:val="false"/>
          <w:iCs w:val="false"/>
          <w:color w:val="000000"/>
          <w:sz w:val="20"/>
          <w:szCs w:val="20"/>
          <w:vertAlign w:val="superscript"/>
          <w:lang w:val="en-IN" w:eastAsia="en-IN"/>
        </w:rPr>
        <w:t xml:space="preserve">                                                                   </w:t>
      </w:r>
      <w:r>
        <w:rPr>
          <w:rFonts w:eastAsia="Times New Roman"/>
          <w:b/>
          <w:bCs/>
          <w:i w:val="false"/>
          <w:iCs w:val="false"/>
          <w:color w:val="000000"/>
          <w:sz w:val="20"/>
          <w:szCs w:val="20"/>
          <w:lang w:val="en-IN" w:eastAsia="en-IN"/>
        </w:rPr>
        <w:t xml:space="preserve"> </w:t>
      </w:r>
      <w:r>
        <w:rPr>
          <w:rFonts w:eastAsia="Times New Roman"/>
          <w:b/>
          <w:bCs/>
          <w:i w:val="false"/>
          <w:iCs w:val="false"/>
          <w:color w:val="000000"/>
          <w:sz w:val="20"/>
          <w:szCs w:val="20"/>
          <w:lang w:val="en-IN" w:eastAsia="en-IN"/>
        </w:rPr>
        <w:t>Department of Physics, Chandigarh University, Mohali, Punjab, 140413 </w:t>
      </w:r>
      <w:r>
        <w:rPr>
          <w:rFonts w:eastAsia="Times New Roman"/>
          <w:i/>
          <w:iCs/>
          <w:color w:val="000000"/>
          <w:sz w:val="20"/>
          <w:szCs w:val="20"/>
          <w:lang w:val="en-IN" w:eastAsia="en-IN"/>
        </w:rPr>
        <w:t> </w:t>
      </w:r>
    </w:p>
    <w:p>
      <w:pPr>
        <w:pStyle w:val="Addresses"/>
        <w:spacing w:before="0" w:after="0"/>
        <w:rPr/>
      </w:pPr>
      <w:r>
        <w:rPr/>
        <w:tab/>
        <w:tab/>
        <w:tab/>
        <w:t xml:space="preserve">       bartwaleisha@gmail.com</w:t>
      </w:r>
    </w:p>
    <w:p>
      <w:pPr>
        <w:pStyle w:val="Email"/>
        <w:rPr/>
      </w:pPr>
      <w:r>
        <w:rPr/>
      </w:r>
    </w:p>
    <w:p>
      <w:pPr>
        <w:pStyle w:val="Email"/>
        <w:rPr/>
      </w:pPr>
      <w:r>
        <w:rPr/>
        <w:t xml:space="preserve"> </w:t>
      </w:r>
      <w:r>
        <w:rPr/>
        <w:tab/>
        <w:tab/>
        <w:tab/>
        <w:t xml:space="preserve">       hod.physics.uis@cumail.in</w:t>
      </w:r>
    </w:p>
    <w:p>
      <w:pPr>
        <w:pStyle w:val="Abstract"/>
        <w:rPr/>
      </w:pPr>
      <w:r>
        <w:rPr>
          <w:b/>
        </w:rPr>
        <w:t>Abstract</w:t>
      </w:r>
      <w:r>
        <w:rPr/>
        <w:t xml:space="preserve">. </w:t>
      </w:r>
      <w:r>
        <w:rPr>
          <w:color w:val="000000"/>
          <w:sz w:val="20"/>
          <w:szCs w:val="20"/>
        </w:rPr>
        <w:t xml:space="preserve">Superconducting state is characterized by a well defined order parameter and the superconducting energy gap which forms at superconducting transition temperature. However, The fundamental mechanism responsible for superconductivity in cooperates is the matter of debate. To study superconductivity in cooperates, point contact Andreev reflection spectroscopy has been used to analyse its superconducting order-parameter. </w:t>
      </w:r>
      <w:r>
        <w:rPr>
          <w:rFonts w:eastAsia="Times New Roman"/>
          <w:sz w:val="20"/>
          <w:szCs w:val="20"/>
        </w:rPr>
        <w:t>The aim of this paper is to review the recent PCS outcomes achieved on the high T</w:t>
      </w:r>
      <w:r>
        <w:rPr>
          <w:rFonts w:eastAsia="Times New Roman"/>
          <w:sz w:val="20"/>
          <w:szCs w:val="20"/>
          <w:vertAlign w:val="subscript"/>
        </w:rPr>
        <w:t>C</w:t>
      </w:r>
      <w:r>
        <w:rPr>
          <w:rFonts w:eastAsia="Times New Roman"/>
          <w:sz w:val="20"/>
          <w:szCs w:val="20"/>
        </w:rPr>
        <w:t xml:space="preserve"> oxides LSCO, in superconducting conditions. For Andreev kind contracts, the shape of the VI features at the lowest voltage is constant with an s wave symmetry of the state of the superconductor and not with the symmetry of a d waver. The improved conduction and voltage are lower than the gap mentioned a Fermi velocity in the superconducting electrode which is within an element of two of that of the ordinary Au point. These outcomes are interpreted as reflecting a huge correlation impact.</w:t>
      </w:r>
    </w:p>
    <w:p>
      <w:pPr>
        <w:pStyle w:val="Sectionnonumber"/>
        <w:rPr/>
      </w:pPr>
      <w:r>
        <w:rPr/>
        <w:t>References:</w:t>
      </w:r>
    </w:p>
    <w:p>
      <w:pPr>
        <w:pStyle w:val="Sectionnonumber"/>
        <w:rPr/>
      </w:pPr>
      <w:r>
        <w:rPr/>
        <w:t xml:space="preserve"> </w:t>
      </w:r>
      <w:r>
        <w:rPr>
          <w:rFonts w:eastAsia="Times New Roman"/>
          <w:b w:val="false"/>
          <w:bCs w:val="false"/>
          <w:sz w:val="20"/>
          <w:szCs w:val="20"/>
        </w:rPr>
        <w:t>[1] Khodel V, Clark J, Zverev M. Impact of electron-electron interactions on the superfluid density of dirty superconductors. Physical Review B. 2019;99(18).</w:t>
      </w:r>
    </w:p>
    <w:p>
      <w:pPr>
        <w:pStyle w:val="Normal"/>
        <w:spacing w:lineRule="auto" w:line="360"/>
        <w:jc w:val="both"/>
        <w:rPr>
          <w:rFonts w:eastAsia="Times New Roman"/>
          <w:sz w:val="20"/>
          <w:szCs w:val="20"/>
        </w:rPr>
      </w:pPr>
      <w:r>
        <w:rPr>
          <w:rFonts w:eastAsia="Times New Roman"/>
          <w:sz w:val="20"/>
          <w:szCs w:val="20"/>
        </w:rPr>
        <w:t>[2] Wang L, Zhan Y. A conceptual peer review model for arXiv and other preprint databases. Learned Publishing. 2019;.</w:t>
      </w:r>
    </w:p>
    <w:p>
      <w:pPr>
        <w:pStyle w:val="Normal"/>
        <w:spacing w:lineRule="auto" w:line="360"/>
        <w:jc w:val="both"/>
        <w:rPr>
          <w:rFonts w:eastAsia="Times New Roman"/>
          <w:sz w:val="20"/>
          <w:szCs w:val="20"/>
        </w:rPr>
      </w:pPr>
      <w:r>
        <w:rPr>
          <w:rFonts w:eastAsia="Times New Roman"/>
          <w:sz w:val="20"/>
          <w:szCs w:val="20"/>
        </w:rPr>
        <w:t>[3] Narayana N, Bhandi M. ArXiv in the Open Access Era: its usage and impact on physics researchers. Bulletin of the AAS. 2022;.</w:t>
      </w:r>
    </w:p>
    <w:p>
      <w:pPr>
        <w:pStyle w:val="Normal"/>
        <w:spacing w:lineRule="auto" w:line="360"/>
        <w:jc w:val="both"/>
        <w:rPr>
          <w:rFonts w:eastAsia="Times New Roman"/>
          <w:sz w:val="20"/>
          <w:szCs w:val="20"/>
        </w:rPr>
      </w:pPr>
      <w:r>
        <w:rPr>
          <w:rFonts w:eastAsia="Times New Roman"/>
          <w:sz w:val="20"/>
          <w:szCs w:val="20"/>
        </w:rPr>
        <w:t>[4] Khodel V, Clark J, Zverev M. Toward a topological scenario for high-temperature superconductivity of copper oxides. Physics Letters A. 2018;382(45):3281-3286.</w:t>
      </w:r>
    </w:p>
    <w:p>
      <w:pPr>
        <w:pStyle w:val="Normal"/>
        <w:spacing w:lineRule="auto" w:line="360"/>
        <w:jc w:val="both"/>
        <w:rPr>
          <w:rFonts w:eastAsia="Times New Roman"/>
          <w:sz w:val="20"/>
          <w:szCs w:val="20"/>
        </w:rPr>
      </w:pPr>
      <w:r>
        <w:rPr>
          <w:rFonts w:eastAsia="Times New Roman"/>
          <w:sz w:val="20"/>
          <w:szCs w:val="20"/>
        </w:rPr>
        <w:t>[5] Michon B, Kuzmenko A, Tran M, McElfresh B, Komiya S, Ono S et al. Spectral weight of hole-doped cuprates across the pseudogap critical point. Physical Review Research. 2021;3(4).</w:t>
      </w:r>
    </w:p>
    <w:p>
      <w:pPr>
        <w:pStyle w:val="Normal"/>
        <w:spacing w:lineRule="auto" w:line="360"/>
        <w:jc w:val="both"/>
        <w:rPr>
          <w:rFonts w:eastAsia="Times New Roman"/>
          <w:sz w:val="20"/>
          <w:szCs w:val="20"/>
        </w:rPr>
      </w:pPr>
      <w:r>
        <w:rPr>
          <w:rFonts w:eastAsia="Times New Roman"/>
          <w:sz w:val="20"/>
          <w:szCs w:val="20"/>
        </w:rPr>
        <w:t>[6] Khodel V, Clark J, Zverev M. Topological Scenario for High-Temperature Superconductivity in Cuprates. JETP Letters. 2018;108(4):260-269.</w:t>
      </w:r>
    </w:p>
    <w:p>
      <w:pPr>
        <w:pStyle w:val="Normal"/>
        <w:spacing w:lineRule="auto" w:line="360"/>
        <w:jc w:val="both"/>
        <w:rPr>
          <w:rFonts w:eastAsia="Times New Roman"/>
          <w:sz w:val="20"/>
          <w:szCs w:val="20"/>
        </w:rPr>
      </w:pPr>
      <w:r>
        <w:rPr>
          <w:rFonts w:eastAsia="Times New Roman"/>
          <w:sz w:val="20"/>
          <w:szCs w:val="20"/>
        </w:rPr>
        <w:t>[7] Michon B, Ataei A, Bourgeois-Hope P, Collignon C, Li S, Badoux S et al. Wiedemann-Franz Law and Abrupt Change in Conductivity across the Pseudogap Critical Point of a Cuprate Superconductor. Physical Review X. 2018;8(4).</w:t>
      </w:r>
    </w:p>
    <w:p>
      <w:pPr>
        <w:pStyle w:val="Normal"/>
        <w:spacing w:lineRule="auto" w:line="360"/>
        <w:jc w:val="both"/>
        <w:rPr>
          <w:rFonts w:eastAsia="Times New Roman"/>
          <w:sz w:val="20"/>
          <w:szCs w:val="20"/>
        </w:rPr>
      </w:pPr>
      <w:r>
        <w:rPr>
          <w:rFonts w:eastAsia="Times New Roman"/>
          <w:sz w:val="20"/>
          <w:szCs w:val="20"/>
        </w:rPr>
        <w:t>[8] Horio M, Kramer K, Wang Q, Zaidan A, von Arx K, Sutter D et al. Oxide Fermi liquid universality revealed by electron spectroscopy. Physical Review B. 2020;102(24).</w:t>
      </w:r>
    </w:p>
    <w:p>
      <w:pPr>
        <w:pStyle w:val="Bodytext"/>
        <w:spacing w:lineRule="auto" w:line="360"/>
        <w:jc w:val="both"/>
        <w:rPr>
          <w:rFonts w:eastAsia="Times New Roman"/>
          <w:sz w:val="20"/>
          <w:szCs w:val="20"/>
        </w:rPr>
      </w:pPr>
      <w:r>
        <w:rPr>
          <w:rFonts w:eastAsia="Times New Roman"/>
          <w:sz w:val="20"/>
          <w:szCs w:val="20"/>
        </w:rPr>
        <w:t>[9] Horio M, Hauser K, Sassa Y, Mingazheva Z, Sutter D, Kramer K et al. Three-Dimensional Fermi Surface of Overdoped La-Based Cuprates. Physical Review Letters. 2018;121(7).</w:t>
      </w:r>
    </w:p>
    <w:sectPr>
      <w:headerReference w:type="even" r:id="rId2"/>
      <w:headerReference w:type="default" r:id="rId3"/>
      <w:headerReference w:type="first" r:id="rId4"/>
      <w:type w:val="nextPage"/>
      <w:pgSz w:w="11906" w:h="16838"/>
      <w:pgMar w:left="1418" w:right="1418" w:gutter="0" w:header="0" w:top="2268" w:footer="0" w:bottom="153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upperRoman"/>
      <w:lvlText w:val="Article %1."/>
      <w:lvlJc w:val="left"/>
      <w:pPr>
        <w:tabs>
          <w:tab w:val="num" w:pos="1440"/>
        </w:tabs>
        <w:ind w:left="0" w:hanging="0"/>
      </w:pPr>
      <w:rPr/>
    </w:lvl>
    <w:lvl w:ilvl="1">
      <w:start w:val="1"/>
      <w:numFmt w:val="decimalZero"/>
      <w:lvlText w:val="Section %1.%2"/>
      <w:lvlJc w:val="left"/>
      <w:pPr>
        <w:tabs>
          <w:tab w:val="num" w:pos="1080"/>
        </w:tabs>
        <w:ind w:left="0" w:hanging="0"/>
      </w:pPr>
      <w:rPr/>
    </w:lvl>
    <w:lvl w:ilvl="2">
      <w:start w:val="1"/>
      <w:pStyle w:val="Heading3"/>
      <w:numFmt w:val="lowerLetter"/>
      <w:lvlText w:val="(%3)"/>
      <w:lvlJc w:val="left"/>
      <w:pPr>
        <w:tabs>
          <w:tab w:val="num" w:pos="720"/>
        </w:tabs>
        <w:ind w:left="720" w:hanging="432"/>
      </w:pPr>
      <w:rPr/>
    </w:lvl>
    <w:lvl w:ilvl="3">
      <w:start w:val="1"/>
      <w:pStyle w:val="Heading4"/>
      <w:numFmt w:val="lowerRoman"/>
      <w:lvlText w:val="(%4)"/>
      <w:lvlJc w:val="right"/>
      <w:pPr>
        <w:tabs>
          <w:tab w:val="num" w:pos="864"/>
        </w:tabs>
        <w:ind w:left="864" w:hanging="144"/>
      </w:pPr>
      <w:rPr/>
    </w:lvl>
    <w:lvl w:ilvl="4">
      <w:start w:val="1"/>
      <w:pStyle w:val="Heading5"/>
      <w:numFmt w:val="decimal"/>
      <w:lvlText w:val="%5)"/>
      <w:lvlJc w:val="left"/>
      <w:pPr>
        <w:tabs>
          <w:tab w:val="num" w:pos="1008"/>
        </w:tabs>
        <w:ind w:left="1008" w:hanging="432"/>
      </w:pPr>
      <w:rPr/>
    </w:lvl>
    <w:lvl w:ilvl="5">
      <w:start w:val="1"/>
      <w:pStyle w:val="Heading6"/>
      <w:numFmt w:val="lowerLetter"/>
      <w:lvlText w:val="%6)"/>
      <w:lvlJc w:val="left"/>
      <w:pPr>
        <w:tabs>
          <w:tab w:val="num" w:pos="1152"/>
        </w:tabs>
        <w:ind w:left="1152" w:hanging="432"/>
      </w:pPr>
      <w:rPr/>
    </w:lvl>
    <w:lvl w:ilvl="6">
      <w:start w:val="1"/>
      <w:pStyle w:val="Heading7"/>
      <w:numFmt w:val="lowerRoman"/>
      <w:lvlText w:val="%7)"/>
      <w:lvlJc w:val="right"/>
      <w:pPr>
        <w:tabs>
          <w:tab w:val="num" w:pos="1296"/>
        </w:tabs>
        <w:ind w:left="1296" w:hanging="288"/>
      </w:pPr>
      <w:rPr/>
    </w:lvl>
    <w:lvl w:ilvl="7">
      <w:start w:val="1"/>
      <w:pStyle w:val="Heading8"/>
      <w:numFmt w:val="lowerLetter"/>
      <w:lvlText w:val="%8."/>
      <w:lvlJc w:val="left"/>
      <w:pPr>
        <w:tabs>
          <w:tab w:val="num" w:pos="1440"/>
        </w:tabs>
        <w:ind w:left="1440" w:hanging="432"/>
      </w:pPr>
      <w:rPr/>
    </w:lvl>
    <w:lvl w:ilvl="8">
      <w:start w:val="1"/>
      <w:pStyle w:val="Heading9"/>
      <w:numFmt w:val="lowerRoman"/>
      <w:lvlText w:val="%9."/>
      <w:lvlJc w:val="right"/>
      <w:pPr>
        <w:tabs>
          <w:tab w:val="num" w:pos="1584"/>
        </w:tabs>
        <w:ind w:left="1584" w:hanging="144"/>
      </w:pPr>
      <w:rPr/>
    </w:lvl>
  </w:abstractNum>
  <w:abstractNum w:abstractNumId="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suff w:val="nothing"/>
      <w:lvlText w:val="%1.  "/>
      <w:lvlJc w:val="left"/>
      <w:pPr>
        <w:tabs>
          <w:tab w:val="num" w:pos="0"/>
        </w:tabs>
        <w:ind w:left="0" w:hanging="0"/>
      </w:pPr>
      <w:rPr/>
    </w:lvl>
    <w:lvl w:ilvl="1">
      <w:start w:val="1"/>
      <w:numFmt w:val="decimal"/>
      <w:suff w:val="nothing"/>
      <w:lvlText w:val="%1.%2.  "/>
      <w:lvlJc w:val="left"/>
      <w:pPr>
        <w:tabs>
          <w:tab w:val="num" w:pos="0"/>
        </w:tabs>
        <w:ind w:left="0" w:hanging="0"/>
      </w:pPr>
      <w:rPr/>
    </w:lvl>
    <w:lvl w:ilvl="2">
      <w:start w:val="1"/>
      <w:numFmt w:val="decimal"/>
      <w:suff w:val="nothing"/>
      <w:lvlText w:val="%1.%2.%3.  "/>
      <w:lvlJc w:val="left"/>
      <w:pPr>
        <w:tabs>
          <w:tab w:val="num" w:pos="0"/>
        </w:tabs>
        <w:ind w:left="0" w:firstLine="142"/>
      </w:pPr>
      <w:rPr>
        <w:i/>
      </w:rPr>
    </w:lvl>
    <w:lvl w:ilvl="3">
      <w:start w:val="1"/>
      <w:numFmt w:val="decimal"/>
      <w:lvlText w:val="%1.%2.%3.%4"/>
      <w:lvlJc w:val="left"/>
      <w:pPr>
        <w:tabs>
          <w:tab w:val="num" w:pos="864"/>
        </w:tabs>
        <w:ind w:left="864" w:hanging="864"/>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abstractNum w:abstractNumId="4">
    <w:lvl w:ilvl="0">
      <w:start w:val="1"/>
      <w:numFmt w:val="decimal"/>
      <w:lvlText w:val="[%1]"/>
      <w:lvlJc w:val="left"/>
      <w:pPr>
        <w:tabs>
          <w:tab w:val="num" w:pos="0"/>
        </w:tabs>
        <w:ind w:left="0" w:hanging="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51"/>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GB"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w:hAnsi="Times" w:eastAsia="Times New Roman" w:cs="Times New Roman"/>
      <w:color w:val="auto"/>
      <w:kern w:val="0"/>
      <w:sz w:val="22"/>
      <w:szCs w:val="20"/>
      <w:lang w:val="en-GB" w:eastAsia="en-US" w:bidi="ar-SA"/>
    </w:rPr>
  </w:style>
  <w:style w:type="paragraph" w:styleId="Heading1">
    <w:name w:val="Heading 1"/>
    <w:basedOn w:val="Normal"/>
    <w:next w:val="Normal"/>
    <w:qFormat/>
    <w:pPr>
      <w:keepNext w:val="true"/>
      <w:widowControl w:val="false"/>
      <w:numPr>
        <w:ilvl w:val="0"/>
        <w:numId w:val="1"/>
      </w:numPr>
      <w:jc w:val="both"/>
      <w:outlineLvl w:val="0"/>
    </w:pPr>
    <w:rPr>
      <w:rFonts w:ascii="Times New Roman" w:hAnsi="Times New Roman" w:eastAsia="SimSun"/>
      <w:b/>
      <w:kern w:val="2"/>
      <w:sz w:val="24"/>
      <w:szCs w:val="24"/>
      <w:lang w:val="en-US" w:eastAsia="zh-CN"/>
    </w:rPr>
  </w:style>
  <w:style w:type="paragraph" w:styleId="Heading2">
    <w:name w:val="Heading 2"/>
    <w:basedOn w:val="Subsection"/>
    <w:next w:val="Normal"/>
    <w:autoRedefine/>
    <w:qFormat/>
    <w:rsid w:val="00733cb3"/>
    <w:pPr>
      <w:outlineLvl w:val="1"/>
    </w:pPr>
    <w:rPr>
      <w:i/>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val="true"/>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styleId="DefaultParagraphFont" w:default="1">
    <w:name w:val="Default Paragraph Font"/>
    <w:uiPriority w:val="1"/>
    <w:semiHidden/>
    <w:unhideWhenUsed/>
    <w:qFormat/>
    <w:rPr/>
  </w:style>
  <w:style w:type="character" w:styleId="SubsubsectionChar" w:customStyle="1">
    <w:name w:val="Subsubsection Char"/>
    <w:link w:val="Subsubsection"/>
    <w:qFormat/>
    <w:rPr>
      <w:rFonts w:ascii="Times" w:hAnsi="Times"/>
      <w:i/>
      <w:iCs/>
      <w:color w:val="000000"/>
      <w:sz w:val="22"/>
      <w:szCs w:val="22"/>
      <w:lang w:eastAsia="en-US"/>
    </w:rPr>
  </w:style>
  <w:style w:type="character" w:styleId="FootnoteCharacters">
    <w:name w:val="Footnote Characters"/>
    <w:semiHidden/>
    <w:qFormat/>
    <w:rPr>
      <w:rFonts w:ascii="Times New Roman" w:hAnsi="Times New Roman"/>
      <w:sz w:val="22"/>
      <w:szCs w:val="22"/>
      <w:vertAlign w:val="superscript"/>
    </w:rPr>
  </w:style>
  <w:style w:type="character" w:styleId="FootnoteAnchor">
    <w:name w:val="Footnote Anchor"/>
    <w:rPr>
      <w:rFonts w:ascii="Times New Roman" w:hAnsi="Times New Roman"/>
      <w:sz w:val="22"/>
      <w:szCs w:val="22"/>
      <w:vertAlign w:val="superscript"/>
    </w:rPr>
  </w:style>
  <w:style w:type="character" w:styleId="EndnoteCharacters">
    <w:name w:val="Endnote Characters"/>
    <w:semiHidden/>
    <w:qFormat/>
    <w:rPr>
      <w:vertAlign w:val="superscript"/>
    </w:rPr>
  </w:style>
  <w:style w:type="character" w:styleId="EndnoteAnchor">
    <w:name w:val="Endnote Anchor"/>
    <w:rPr>
      <w:vertAlign w:val="superscript"/>
    </w:rPr>
  </w:style>
  <w:style w:type="character" w:styleId="Pagenumber">
    <w:name w:val="page number"/>
    <w:basedOn w:val="DefaultParagraphFont"/>
    <w:semiHidden/>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Subsubsection" w:customStyle="1">
    <w:name w:val="Subsubsection"/>
    <w:next w:val="Bodytext"/>
    <w:link w:val="SubsubsectionChar"/>
    <w:qFormat/>
    <w:pPr>
      <w:widowControl/>
      <w:numPr>
        <w:ilvl w:val="2"/>
        <w:numId w:val="3"/>
      </w:numPr>
      <w:suppressAutoHyphens w:val="true"/>
      <w:bidi w:val="0"/>
      <w:spacing w:before="240" w:after="0"/>
      <w:ind w:hanging="0"/>
      <w:jc w:val="left"/>
    </w:pPr>
    <w:rPr>
      <w:rFonts w:ascii="Times" w:hAnsi="Times" w:eastAsia="Times New Roman" w:cs="Times New Roman"/>
      <w:i/>
      <w:iCs/>
      <w:color w:val="000000"/>
      <w:kern w:val="0"/>
      <w:sz w:val="22"/>
      <w:szCs w:val="22"/>
      <w:lang w:val="en-GB" w:eastAsia="en-US" w:bidi="ar-SA"/>
    </w:rPr>
  </w:style>
  <w:style w:type="paragraph" w:styleId="Bodytext" w:customStyle="1">
    <w:name w:val="Bodytext"/>
    <w:next w:val="BodytextIndented"/>
    <w:qFormat/>
    <w:pPr>
      <w:widowControl/>
      <w:suppressAutoHyphens w:val="true"/>
      <w:bidi w:val="0"/>
      <w:spacing w:before="0" w:after="0"/>
      <w:jc w:val="both"/>
    </w:pPr>
    <w:rPr>
      <w:rFonts w:ascii="Times" w:hAnsi="Times" w:eastAsia="Times New Roman" w:cs="Times New Roman"/>
      <w:iCs/>
      <w:color w:val="000000"/>
      <w:kern w:val="0"/>
      <w:sz w:val="22"/>
      <w:szCs w:val="22"/>
      <w:lang w:val="en-US" w:eastAsia="en-US" w:bidi="ar-SA"/>
    </w:rPr>
  </w:style>
  <w:style w:type="paragraph" w:styleId="BodytextIndented" w:customStyle="1">
    <w:name w:val="BodytextIndented"/>
    <w:basedOn w:val="Bodytext"/>
    <w:qFormat/>
    <w:pPr>
      <w:ind w:firstLine="284"/>
    </w:pPr>
    <w:rPr/>
  </w:style>
  <w:style w:type="paragraph" w:styleId="Section" w:customStyle="1">
    <w:name w:val="Section"/>
    <w:next w:val="Bodytext"/>
    <w:qFormat/>
    <w:pPr>
      <w:widowControl/>
      <w:numPr>
        <w:ilvl w:val="0"/>
        <w:numId w:val="3"/>
      </w:numPr>
      <w:suppressAutoHyphens w:val="true"/>
      <w:bidi w:val="0"/>
      <w:spacing w:before="240" w:after="0"/>
      <w:jc w:val="left"/>
    </w:pPr>
    <w:rPr>
      <w:rFonts w:ascii="Times" w:hAnsi="Times" w:eastAsia="Times New Roman" w:cs="Times New Roman"/>
      <w:b/>
      <w:iCs/>
      <w:color w:val="000000"/>
      <w:kern w:val="0"/>
      <w:sz w:val="22"/>
      <w:szCs w:val="22"/>
      <w:lang w:val="en-GB" w:eastAsia="en-US" w:bidi="ar-SA"/>
    </w:rPr>
  </w:style>
  <w:style w:type="paragraph" w:styleId="Footnote">
    <w:name w:val="Footnote Text"/>
    <w:basedOn w:val="Normal"/>
    <w:semiHidden/>
    <w:pPr/>
    <w:rPr>
      <w:sz w:val="20"/>
    </w:rPr>
  </w:style>
  <w:style w:type="paragraph" w:styleId="Bulleted" w:customStyle="1">
    <w:name w:val="Bulleted"/>
    <w:qFormat/>
    <w:pPr>
      <w:widowControl/>
      <w:numPr>
        <w:ilvl w:val="0"/>
        <w:numId w:val="2"/>
      </w:numPr>
      <w:suppressAutoHyphens w:val="true"/>
      <w:bidi w:val="0"/>
      <w:spacing w:before="0" w:after="0"/>
      <w:jc w:val="both"/>
    </w:pPr>
    <w:rPr>
      <w:rFonts w:ascii="Times" w:hAnsi="Times" w:eastAsia="Times New Roman" w:cs="Times New Roman"/>
      <w:color w:val="000000"/>
      <w:kern w:val="0"/>
      <w:sz w:val="22"/>
      <w:szCs w:val="22"/>
      <w:lang w:val="en-GB" w:eastAsia="en-US" w:bidi="ar-SA"/>
    </w:rPr>
  </w:style>
  <w:style w:type="paragraph" w:styleId="Endnote">
    <w:name w:val="Endnote Text"/>
    <w:basedOn w:val="Normal"/>
    <w:semiHidden/>
    <w:pPr/>
    <w:rPr>
      <w:sz w:val="20"/>
    </w:rPr>
  </w:style>
  <w:style w:type="paragraph" w:styleId="Subsection" w:customStyle="1">
    <w:name w:val="Subsection"/>
    <w:next w:val="Bodytext"/>
    <w:qFormat/>
    <w:pPr>
      <w:widowControl/>
      <w:numPr>
        <w:ilvl w:val="1"/>
        <w:numId w:val="3"/>
      </w:numPr>
      <w:suppressAutoHyphens w:val="true"/>
      <w:bidi w:val="0"/>
      <w:spacing w:before="240" w:after="0"/>
      <w:jc w:val="left"/>
    </w:pPr>
    <w:rPr>
      <w:rFonts w:ascii="Times" w:hAnsi="Times" w:eastAsia="Times New Roman" w:cs="Times New Roman"/>
      <w:iCs/>
      <w:color w:val="000000"/>
      <w:kern w:val="0"/>
      <w:sz w:val="22"/>
      <w:szCs w:val="22"/>
      <w:lang w:val="en-GB" w:eastAsia="en-US" w:bidi="ar-SA"/>
    </w:rPr>
  </w:style>
  <w:style w:type="paragraph" w:styleId="Email" w:customStyle="1">
    <w:name w:val="E-mail"/>
    <w:next w:val="Abstract"/>
    <w:qFormat/>
    <w:pPr>
      <w:widowControl/>
      <w:suppressAutoHyphens w:val="true"/>
      <w:bidi w:val="0"/>
      <w:spacing w:before="0" w:after="240"/>
      <w:ind w:left="1418" w:hanging="0"/>
      <w:jc w:val="left"/>
    </w:pPr>
    <w:rPr>
      <w:rFonts w:ascii="Times" w:hAnsi="Times" w:eastAsia="Times New Roman" w:cs="Times New Roman"/>
      <w:color w:val="auto"/>
      <w:kern w:val="0"/>
      <w:sz w:val="22"/>
      <w:szCs w:val="22"/>
      <w:lang w:val="en-US" w:eastAsia="en-US" w:bidi="ar-SA"/>
    </w:rPr>
  </w:style>
  <w:style w:type="paragraph" w:styleId="Abstract" w:customStyle="1">
    <w:name w:val="Abstract"/>
    <w:next w:val="Section"/>
    <w:qFormat/>
    <w:pPr>
      <w:widowControl/>
      <w:suppressAutoHyphens w:val="true"/>
      <w:bidi w:val="0"/>
      <w:spacing w:before="0" w:after="454"/>
      <w:ind w:left="1418" w:hanging="0"/>
      <w:jc w:val="both"/>
    </w:pPr>
    <w:rPr>
      <w:rFonts w:ascii="Times" w:hAnsi="Times" w:eastAsia="Times New Roman" w:cs="Times New Roman"/>
      <w:color w:val="000000"/>
      <w:kern w:val="0"/>
      <w:sz w:val="20"/>
      <w:szCs w:val="20"/>
      <w:lang w:val="en-GB" w:eastAsia="en-US" w:bidi="ar-SA"/>
    </w:rPr>
  </w:style>
  <w:style w:type="paragraph" w:styleId="Sectionnonumber" w:customStyle="1">
    <w:name w:val="Section (no number)"/>
    <w:next w:val="Bodytext"/>
    <w:qFormat/>
    <w:pPr>
      <w:widowControl/>
      <w:suppressAutoHyphens w:val="true"/>
      <w:bidi w:val="0"/>
      <w:spacing w:before="240" w:after="0"/>
      <w:jc w:val="left"/>
    </w:pPr>
    <w:rPr>
      <w:rFonts w:ascii="Times" w:hAnsi="Times" w:eastAsia="Times New Roman" w:cs="Times New Roman"/>
      <w:b/>
      <w:iCs/>
      <w:color w:val="000000"/>
      <w:kern w:val="0"/>
      <w:sz w:val="22"/>
      <w:szCs w:val="22"/>
      <w:lang w:val="en-US" w:eastAsia="en-US" w:bidi="ar-SA"/>
    </w:rPr>
  </w:style>
  <w:style w:type="paragraph" w:styleId="Title">
    <w:name w:val="Title"/>
    <w:basedOn w:val="Normal"/>
    <w:next w:val="Authors"/>
    <w:qFormat/>
    <w:pPr>
      <w:spacing w:before="1588" w:after="567"/>
    </w:pPr>
    <w:rPr>
      <w:b/>
      <w:sz w:val="34"/>
      <w:szCs w:val="34"/>
    </w:rPr>
  </w:style>
  <w:style w:type="paragraph" w:styleId="Authors" w:customStyle="1">
    <w:name w:val="Authors"/>
    <w:next w:val="Addresses"/>
    <w:qFormat/>
    <w:pPr>
      <w:widowControl/>
      <w:suppressAutoHyphens w:val="true"/>
      <w:bidi w:val="0"/>
      <w:spacing w:before="0" w:after="113"/>
      <w:ind w:left="1418" w:hanging="0"/>
      <w:jc w:val="left"/>
    </w:pPr>
    <w:rPr>
      <w:rFonts w:ascii="Times" w:hAnsi="Times" w:eastAsia="Times New Roman" w:cs="Times New Roman"/>
      <w:b/>
      <w:color w:val="auto"/>
      <w:kern w:val="0"/>
      <w:sz w:val="22"/>
      <w:szCs w:val="22"/>
      <w:lang w:val="en-GB" w:eastAsia="en-US" w:bidi="ar-SA"/>
    </w:rPr>
  </w:style>
  <w:style w:type="paragraph" w:styleId="Addresses" w:customStyle="1">
    <w:name w:val="Addresses"/>
    <w:next w:val="Email"/>
    <w:qFormat/>
    <w:pPr>
      <w:widowControl/>
      <w:suppressAutoHyphens w:val="true"/>
      <w:bidi w:val="0"/>
      <w:spacing w:before="0" w:after="240"/>
      <w:ind w:left="1418" w:hanging="0"/>
      <w:jc w:val="left"/>
    </w:pPr>
    <w:rPr>
      <w:rFonts w:ascii="Times" w:hAnsi="Times" w:eastAsia="Times New Roman" w:cs="Times New Roman"/>
      <w:color w:val="auto"/>
      <w:kern w:val="0"/>
      <w:sz w:val="22"/>
      <w:szCs w:val="22"/>
      <w:lang w:val="en-GB" w:eastAsia="en-US" w:bidi="ar-SA"/>
    </w:rPr>
  </w:style>
  <w:style w:type="paragraph" w:styleId="FigureCaption" w:customStyle="1">
    <w:name w:val="FigureCaption"/>
    <w:qFormat/>
    <w:pPr>
      <w:widowControl/>
      <w:suppressAutoHyphens w:val="true"/>
      <w:bidi w:val="0"/>
      <w:spacing w:before="170" w:after="0"/>
      <w:ind w:left="28" w:hanging="0"/>
      <w:jc w:val="center"/>
    </w:pPr>
    <w:rPr>
      <w:rFonts w:ascii="Times" w:hAnsi="Times" w:eastAsia="Times New Roman" w:cs="Times New Roman"/>
      <w:color w:val="000000"/>
      <w:kern w:val="0"/>
      <w:sz w:val="22"/>
      <w:szCs w:val="22"/>
      <w:lang w:val="en-GB" w:eastAsia="en-US" w:bidi="ar-SA"/>
    </w:rPr>
  </w:style>
  <w:style w:type="paragraph" w:styleId="Referencenonumber" w:customStyle="1">
    <w:name w:val="Reference (no number)"/>
    <w:basedOn w:val="Reference"/>
    <w:qFormat/>
    <w:pPr>
      <w:numPr>
        <w:ilvl w:val="0"/>
        <w:numId w:val="0"/>
      </w:numPr>
      <w:ind w:left="851" w:hanging="284"/>
    </w:pPr>
    <w:rPr/>
  </w:style>
  <w:style w:type="paragraph" w:styleId="Reference" w:customStyle="1">
    <w:name w:val="Reference"/>
    <w:qFormat/>
    <w:pPr>
      <w:widowControl w:val="false"/>
      <w:numPr>
        <w:ilvl w:val="0"/>
        <w:numId w:val="4"/>
      </w:numPr>
      <w:tabs>
        <w:tab w:val="clear" w:pos="851"/>
        <w:tab w:val="left" w:pos="567" w:leader="none"/>
      </w:tabs>
      <w:suppressAutoHyphens w:val="true"/>
      <w:bidi w:val="0"/>
      <w:spacing w:before="0" w:after="0"/>
      <w:ind w:left="851" w:hanging="851"/>
      <w:jc w:val="both"/>
    </w:pPr>
    <w:rPr>
      <w:rFonts w:ascii="Times" w:hAnsi="Times" w:eastAsia="Times New Roman" w:cs="Times New Roman"/>
      <w:iCs/>
      <w:color w:val="000000"/>
      <w:kern w:val="0"/>
      <w:sz w:val="22"/>
      <w:szCs w:val="22"/>
      <w:lang w:val="en-GB" w:eastAsia="en-US" w:bidi="ar-SA"/>
    </w:rPr>
  </w:style>
  <w:style w:type="paragraph" w:styleId="HeaderandFooter">
    <w:name w:val="Header and Footer"/>
    <w:basedOn w:val="Normal"/>
    <w:qFormat/>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16</TotalTime>
  <Application>LibreOffice/7.3.2.2$Linux_X86_64 LibreOffice_project/30$Build-2</Application>
  <AppVersion>15.0000</AppVersion>
  <Pages>2</Pages>
  <Words>398</Words>
  <Characters>2294</Characters>
  <CharactersWithSpaces>2777</CharactersWithSpaces>
  <Paragraphs>17</Paragraphs>
  <Company>IOP Publishing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dc:description/>
  <cp:keywords>open access proceedings template fast affordable flexible</cp:keywords>
  <dc:language>en-IN</dc:language>
  <cp:lastModifiedBy/>
  <cp:lastPrinted>2005-02-25T09:52:00Z</cp:lastPrinted>
  <dcterms:modified xsi:type="dcterms:W3CDTF">2023-03-01T17:41:02Z</dcterms:modified>
  <cp:revision>4</cp:revision>
  <dc:subject/>
  <dc:title>Open Access proceedings Journal of Physics: Conference series</dc:title>
</cp:coreProperties>
</file>

<file path=docProps/custom.xml><?xml version="1.0" encoding="utf-8"?>
<Properties xmlns="http://schemas.openxmlformats.org/officeDocument/2006/custom-properties" xmlns:vt="http://schemas.openxmlformats.org/officeDocument/2006/docPropsVTypes"/>
</file>